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right"/>
        <w:rPr>
          <w:rFonts w:ascii="Arial" w:hAnsi="Arial" w:cs="Arial"/>
          <w:sz w:val="28"/>
          <w:szCs w:val="28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5655"/>
            <wp:effectExtent l="0" t="0" r="0" b="0"/>
            <wp:wrapNone/>
            <wp:docPr id="1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45" r="-292" b="-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  <w:szCs w:val="28"/>
        </w:rPr>
        <w:t>C</w:t>
      </w:r>
      <w:r>
        <w:rPr>
          <w:rFonts w:cs="Arial" w:ascii="Arial" w:hAnsi="Arial"/>
          <w:sz w:val="28"/>
          <w:szCs w:val="28"/>
        </w:rPr>
        <w:t>omune di ...</w:t>
      </w:r>
    </w:p>
    <w:p>
      <w:pPr>
        <w:pStyle w:val="Standard"/>
        <w:spacing w:lineRule="auto" w:line="276"/>
        <w:jc w:val="right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-635</wp:posOffset>
                </wp:positionH>
                <wp:positionV relativeFrom="paragraph">
                  <wp:posOffset>486410</wp:posOffset>
                </wp:positionV>
                <wp:extent cx="6122670" cy="190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0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6122160" cy="1800"/>
                        </a:xfrm>
                        <a:prstGeom prst="straightConnector1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nettore 1 1" stroked="t" style="position:absolute;margin-left:-0.05pt;margin-top:38.3pt;width:482pt;height:0.1pt" type="shapetype_32">
                <v:stroke color="gray" weight="12600" joinstyle="miter" endcap="square"/>
                <v:fill o:detectmouseclick="t" on="false"/>
              </v:shape>
            </w:pict>
          </mc:Fallback>
        </mc:AlternateContent>
      </w:r>
      <w:r>
        <w:rPr>
          <w:rFonts w:cs="Arial" w:ascii="Arial" w:hAnsi="Arial"/>
        </w:rPr>
        <w:t>P</w:t>
      </w:r>
      <w:r>
        <w:rPr>
          <w:rFonts w:cs="Arial" w:ascii="Arial" w:hAnsi="Arial"/>
        </w:rPr>
        <w:t>rovincia di ...</w:t>
      </w:r>
    </w:p>
    <w:p>
      <w:pPr>
        <w:pStyle w:val="Standarduser"/>
        <w:spacing w:before="120" w:after="0"/>
        <w:ind w:left="2380" w:firstLine="340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Standarduser"/>
        <w:spacing w:before="240" w:after="120"/>
        <w:ind w:left="2381" w:firstLine="340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All’Ufficio Tributi del Comune</w:t>
      </w:r>
    </w:p>
    <w:p>
      <w:pPr>
        <w:pStyle w:val="Standarduser"/>
        <w:jc w:val="center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Prospetto liquidazione ravvedimento operoso</w:t>
      </w:r>
    </w:p>
    <w:p>
      <w:pPr>
        <w:pStyle w:val="Standarduser"/>
        <w:spacing w:before="120" w:after="12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IMPOSTA ………………… ANNO …………………………</w:t>
      </w:r>
    </w:p>
    <w:p>
      <w:pPr>
        <w:pStyle w:val="Standarduser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sottoscritto/a ……………………………………… nato a …………………………………… il ……………………</w:t>
      </w:r>
    </w:p>
    <w:p>
      <w:pPr>
        <w:pStyle w:val="Standarduser"/>
        <w:spacing w:lineRule="auto" w:line="360"/>
        <w:jc w:val="both"/>
        <w:rPr/>
      </w:pPr>
      <w:r>
        <w:rPr>
          <w:rFonts w:cs="Arial" w:ascii="Arial" w:hAnsi="Arial"/>
          <w:sz w:val="20"/>
          <w:szCs w:val="20"/>
        </w:rPr>
        <w:t>C.F………………………………………………………… residente a …………………………………………………</w:t>
      </w:r>
    </w:p>
    <w:p>
      <w:pPr>
        <w:pStyle w:val="Standarduser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via ……………………………………………………. n………………Tel./Cell.:……………………………………</w:t>
      </w:r>
    </w:p>
    <w:p>
      <w:pPr>
        <w:pStyle w:val="Standarduser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mail ………………………………………………        pec ……………………………………………………………</w:t>
      </w:r>
    </w:p>
    <w:p>
      <w:pPr>
        <w:pStyle w:val="Standarduser"/>
        <w:spacing w:before="120" w:after="12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COMUNICA</w:t>
      </w:r>
    </w:p>
    <w:p>
      <w:pPr>
        <w:pStyle w:val="Standarduser"/>
        <w:jc w:val="both"/>
        <w:rPr/>
      </w:pPr>
      <w:r>
        <w:rPr>
          <w:rFonts w:cs="Arial" w:ascii="Arial" w:hAnsi="Arial"/>
          <w:sz w:val="20"/>
          <w:szCs w:val="20"/>
        </w:rPr>
        <w:t>Di avvalersi del ravvedimento operoso,</w:t>
      </w:r>
      <w:r>
        <w:rPr>
          <w:sz w:val="20"/>
          <w:szCs w:val="20"/>
          <w:lang w:eastAsia="it-IT"/>
        </w:rPr>
        <w:t xml:space="preserve"> </w:t>
      </w:r>
      <w:r>
        <w:rPr>
          <w:rFonts w:cs="Arial" w:ascii="Arial" w:hAnsi="Arial"/>
          <w:sz w:val="20"/>
          <w:szCs w:val="20"/>
        </w:rPr>
        <w:t>ai sensi dell’art. 13, del D.Lgs. 18 dicembre 1997, n. 472, per omesso o tardivo versamento di acconto o saldo per la seguente fattispecie: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Entro 14 giorni </w:t>
      </w:r>
      <w:r>
        <w:rPr>
          <w:rFonts w:cs="Arial" w:ascii="Arial" w:hAnsi="Arial"/>
          <w:sz w:val="20"/>
          <w:szCs w:val="20"/>
        </w:rPr>
        <w:t xml:space="preserve">Sanzione pari allo 0,1% X gg. di ritardo n. ……………. (max 14 gg. - max 1,40%) </w:t>
      </w:r>
      <w:r>
        <w:rPr>
          <w:rFonts w:cs="Arial" w:ascii="Arial" w:hAnsi="Arial"/>
          <w:b/>
          <w:bCs/>
          <w:sz w:val="20"/>
          <w:szCs w:val="20"/>
        </w:rPr>
        <w:t>sanzione pari al …………%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Dal 15° al 30° giorno </w:t>
      </w:r>
      <w:r>
        <w:rPr>
          <w:rFonts w:cs="Arial" w:ascii="Arial" w:hAnsi="Arial"/>
          <w:sz w:val="20"/>
          <w:szCs w:val="20"/>
        </w:rPr>
        <w:t xml:space="preserve">(in misura fissa) </w:t>
      </w:r>
      <w:r>
        <w:rPr>
          <w:rFonts w:cs="Arial" w:ascii="Arial" w:hAnsi="Arial"/>
          <w:b/>
          <w:bCs/>
          <w:sz w:val="20"/>
          <w:szCs w:val="20"/>
        </w:rPr>
        <w:t>sanzione pari al 1,50%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Dal 31° giorno e fino al 90° giorno dalla commissione della violazione </w:t>
      </w:r>
      <w:r>
        <w:rPr>
          <w:rFonts w:cs="Arial" w:ascii="Arial" w:hAnsi="Arial"/>
          <w:sz w:val="20"/>
          <w:szCs w:val="20"/>
        </w:rPr>
        <w:t xml:space="preserve">(in misura fissa) </w:t>
      </w:r>
      <w:r>
        <w:rPr>
          <w:rFonts w:cs="Arial" w:ascii="Arial" w:hAnsi="Arial"/>
          <w:b/>
          <w:bCs/>
          <w:sz w:val="20"/>
          <w:szCs w:val="20"/>
        </w:rPr>
        <w:t>sanzione pari al 1,66%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Dal 91° giorno e fino ad un anno dalla commissione della violazione </w:t>
      </w:r>
      <w:r>
        <w:rPr>
          <w:rFonts w:cs="Arial" w:ascii="Arial" w:hAnsi="Arial"/>
          <w:sz w:val="20"/>
          <w:szCs w:val="20"/>
        </w:rPr>
        <w:t xml:space="preserve">(in misura fissa) </w:t>
      </w:r>
      <w:r>
        <w:rPr>
          <w:rFonts w:cs="Arial" w:ascii="Arial" w:hAnsi="Arial"/>
          <w:b/>
          <w:bCs/>
          <w:sz w:val="20"/>
          <w:szCs w:val="20"/>
        </w:rPr>
        <w:t>sanzione pari al 3,75%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Oltre un anno dal termine per il versamento ed entro due anni dall'omissione </w:t>
      </w:r>
      <w:r>
        <w:rPr>
          <w:rFonts w:cs="Arial" w:ascii="Arial" w:hAnsi="Arial"/>
          <w:sz w:val="20"/>
          <w:szCs w:val="20"/>
        </w:rPr>
        <w:t>(in misura fissa)</w:t>
      </w:r>
      <w:r>
        <w:rPr>
          <w:rFonts w:cs="Arial" w:ascii="Arial" w:hAnsi="Arial"/>
          <w:b/>
          <w:bCs/>
          <w:sz w:val="20"/>
          <w:szCs w:val="20"/>
        </w:rPr>
        <w:t xml:space="preserve"> sanzione pari al 4,29%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Oltre due anni dall'omissione </w:t>
      </w:r>
      <w:r>
        <w:rPr>
          <w:rFonts w:cs="Arial" w:ascii="Arial" w:hAnsi="Arial"/>
          <w:sz w:val="20"/>
          <w:szCs w:val="20"/>
        </w:rPr>
        <w:t>(in misura fissa)</w:t>
      </w:r>
      <w:r>
        <w:rPr>
          <w:rFonts w:cs="Arial" w:ascii="Arial" w:hAnsi="Arial"/>
          <w:b/>
          <w:bCs/>
          <w:sz w:val="20"/>
          <w:szCs w:val="20"/>
        </w:rPr>
        <w:t xml:space="preserve"> sanzione pari al 5%</w:t>
      </w:r>
    </w:p>
    <w:p>
      <w:pPr>
        <w:pStyle w:val="Standarduser"/>
        <w:spacing w:lineRule="auto" w:line="288"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…………………. di avere provveduto al versamento della somma complessiva di € …………………. determinata nel modo seguente:</w:t>
      </w:r>
    </w:p>
    <w:tbl>
      <w:tblPr>
        <w:tblW w:w="9401" w:type="dxa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669"/>
        <w:gridCol w:w="2836"/>
        <w:gridCol w:w="3896"/>
      </w:tblGrid>
      <w:tr>
        <w:trPr>
          <w:trHeight w:val="918" w:hRule="atLeast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IMPOSTA</w:t>
            </w:r>
          </w:p>
          <w:p>
            <w:pPr>
              <w:pStyle w:val="Standarduser"/>
              <w:jc w:val="center"/>
              <w:rPr>
                <w:rFonts w:ascii="Arial" w:hAnsi="Arial" w:eastAsia="Arial" w:cs="Arial"/>
                <w:b/>
                <w:b/>
                <w:sz w:val="18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20"/>
              </w:rPr>
              <w:t>€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5" w:type="dxa"/>
              <w:right w:w="10" w:type="dxa"/>
            </w:tcMar>
            <w:vAlign w:val="center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SANZIONE</w:t>
            </w:r>
          </w:p>
          <w:p>
            <w:pPr>
              <w:pStyle w:val="Standarduser"/>
              <w:jc w:val="center"/>
              <w:rPr>
                <w:rFonts w:ascii="Arial" w:hAnsi="Arial" w:eastAsia="Arial" w:cs="Arial"/>
                <w:b/>
                <w:b/>
                <w:sz w:val="18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20"/>
              </w:rPr>
              <w:t>€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5" w:type="dxa"/>
              <w:right w:w="10" w:type="dxa"/>
            </w:tcMar>
            <w:vAlign w:val="center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INTERESSI LEGALI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  <w:szCs w:val="20"/>
              </w:rPr>
              <w:t>dal 01/01/2018: 0,3% (D.M. 15/12/2017)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  <w:szCs w:val="20"/>
              </w:rPr>
              <w:t>dal 01/01/2019: 0,8% (D.M. 12/12/2018)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  <w:szCs w:val="20"/>
              </w:rPr>
              <w:t>dal 01/01/2020: 0,05% (D.M. 12/12/2019)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  <w:szCs w:val="20"/>
              </w:rPr>
              <w:t>dal 01/01/2021: 0,01% (D.M. 11/12/2020)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</w:rPr>
              <w:t>dal 01/01/2022: 1,25% (D.M. 13/12/2021)</w:t>
            </w:r>
          </w:p>
          <w:p>
            <w:pPr>
              <w:pStyle w:val="Standarduser"/>
              <w:jc w:val="center"/>
              <w:rPr>
                <w:rFonts w:ascii="Arial" w:hAnsi="Arial" w:eastAsia="Arial" w:cs="Arial"/>
                <w:b/>
                <w:b/>
                <w:sz w:val="18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20"/>
              </w:rPr>
              <w:t>€</w:t>
            </w:r>
          </w:p>
        </w:tc>
      </w:tr>
      <w:tr>
        <w:trPr>
          <w:trHeight w:val="454" w:hRule="atLeast"/>
        </w:trPr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  <w:right w:w="10" w:type="dxa"/>
            </w:tcMar>
            <w:vAlign w:val="bottom"/>
          </w:tcPr>
          <w:p>
            <w:pPr>
              <w:pStyle w:val="Standarduser"/>
              <w:snapToGrid w:val="false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</w:t>
            </w:r>
          </w:p>
        </w:tc>
        <w:tc>
          <w:tcPr>
            <w:tcW w:w="3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  <w:right w:w="10" w:type="dxa"/>
            </w:tcMar>
            <w:vAlign w:val="bottom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</w:tr>
    </w:tbl>
    <w:p>
      <w:pPr>
        <w:pStyle w:val="Standarduser"/>
        <w:spacing w:lineRule="auto" w:line="288" w:before="240" w:after="0"/>
        <w:rPr/>
      </w:pPr>
      <w:r>
        <w:rPr>
          <w:rFonts w:cs="Arial" w:ascii="Arial" w:hAnsi="Arial"/>
          <w:b/>
          <w:bCs/>
          <w:sz w:val="20"/>
          <w:szCs w:val="20"/>
        </w:rPr>
        <w:t>AVVERTENZE:</w:t>
      </w:r>
    </w:p>
    <w:p>
      <w:pPr>
        <w:pStyle w:val="Standarduser"/>
        <w:spacing w:lineRule="auto" w:line="288" w:before="120" w:after="0"/>
        <w:jc w:val="both"/>
        <w:rPr/>
      </w:pPr>
      <w:r>
        <w:rPr>
          <w:rFonts w:cs="Arial" w:ascii="Arial" w:hAnsi="Arial"/>
          <w:sz w:val="20"/>
          <w:szCs w:val="20"/>
        </w:rPr>
        <w:t>Il calcolo degli interessi legali si effettua nel seguente modo: Imposta x tasso d’interesse x giorni/36.500. I giorni decorrono dal giorno successivo alla scadenza del versamento sino a quello dell’effettivo versamento</w:t>
      </w:r>
    </w:p>
    <w:p>
      <w:pPr>
        <w:pStyle w:val="Standarduser"/>
        <w:suppressAutoHyphens w:val="false"/>
        <w:spacing w:before="120" w:after="120"/>
        <w:jc w:val="both"/>
        <w:rPr/>
      </w:pPr>
      <w:bookmarkStart w:id="0" w:name="_Hlk524958309"/>
      <w:bookmarkEnd w:id="0"/>
      <w:r>
        <w:rPr>
          <w:rFonts w:cs="Arial" w:ascii="Arial" w:hAnsi="Arial"/>
          <w:sz w:val="20"/>
          <w:szCs w:val="20"/>
          <w:lang w:eastAsia="en-US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Standarduser"/>
        <w:spacing w:lineRule="auto" w:line="288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……………………………….</w:t>
      </w:r>
    </w:p>
    <w:p>
      <w:pPr>
        <w:pStyle w:val="Standarduser"/>
        <w:spacing w:lineRule="auto" w:line="288" w:before="12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</w:t>
      </w:r>
    </w:p>
    <w:p>
      <w:pPr>
        <w:pStyle w:val="Standarduser"/>
        <w:spacing w:lineRule="auto" w:line="288"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..</w:t>
      </w:r>
    </w:p>
    <w:p>
      <w:pPr>
        <w:pStyle w:val="Standardus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Allegato: copia quietanza di versamento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25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roman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  <w:cantSplit w:val="true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Standarduser"/>
            <w:suppressAutoHyphens w:val="false"/>
            <w:snapToGrid w:val="false"/>
            <w:ind w:right="7370" w:hanging="0"/>
            <w:jc w:val="right"/>
            <w:rPr>
              <w:lang w:val="en-US" w:eastAsia="en-US"/>
            </w:rPr>
          </w:pPr>
          <w:r>
            <w:rPr>
              <w:lang w:val="en-US" w:eastAsia="en-US"/>
            </w:rPr>
            <w:drawing>
              <wp:inline distT="0" distB="0" distL="0" distR="0">
                <wp:extent cx="447040" cy="171450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tcMar>
            <w:left w:w="10" w:type="dxa"/>
            <w:right w:w="10" w:type="dxa"/>
          </w:tcMar>
          <w:vAlign w:val="center"/>
        </w:tcPr>
        <w:p>
          <w:pPr>
            <w:pStyle w:val="Standarduser"/>
            <w:suppressAutoHyphens w:val="false"/>
            <w:jc w:val="center"/>
            <w:rPr/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" w:ascii="Arial" w:hAnsi="Arial"/>
              <w:sz w:val="10"/>
              <w:szCs w:val="10"/>
            </w:rPr>
            <w:t>853568.11.a</w:t>
          </w:r>
        </w:p>
      </w:tc>
      <w:tc>
        <w:tcPr>
          <w:tcW w:w="7752" w:type="dxa"/>
          <w:tcBorders/>
          <w:shd w:fill="auto" w:val="clear"/>
          <w:tcMar>
            <w:left w:w="10" w:type="dxa"/>
            <w:right w:w="10" w:type="dxa"/>
          </w:tcMar>
          <w:vAlign w:val="center"/>
        </w:tcPr>
        <w:p>
          <w:pPr>
            <w:pStyle w:val="Standarduser"/>
            <w:suppressAutoHyphens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  <w:cantSplit w:val="true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tcMar>
            <w:left w:w="10" w:type="dxa"/>
            <w:right w:w="10" w:type="dxa"/>
          </w:tcMar>
          <w:vAlign w:val="center"/>
        </w:tcPr>
        <w:p>
          <w:pPr>
            <w:pStyle w:val="Standarduser"/>
            <w:suppressAutoHyphens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tcMar>
            <w:left w:w="10" w:type="dxa"/>
            <w:right w:w="10" w:type="dxa"/>
          </w:tcMar>
          <w:vAlign w:val="center"/>
        </w:tcPr>
        <w:p>
          <w:pPr>
            <w:pStyle w:val="Standarduser"/>
            <w:suppressAutoHyphens w:val="false"/>
            <w:ind w:right="87" w:hanging="0"/>
            <w:jc w:val="right"/>
            <w:rPr/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Standarduser"/>
      <w:tabs>
        <w:tab w:val="center" w:pos="4819" w:leader="none"/>
        <w:tab w:val="right" w:pos="9638" w:leader="none"/>
      </w:tabs>
      <w:suppressAutoHyphens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"/>
      <w:lvlJc w:val="left"/>
      <w:pPr>
        <w:ind w:left="720" w:hanging="0"/>
      </w:pPr>
      <w:rPr>
        <w:rFonts w:ascii="Wingdings" w:hAnsi="Wingdings" w:cs="Wingdings" w:hint="default"/>
        <w:sz w:val="20"/>
        <w:b/>
        <w:szCs w:val="16"/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numFmt w:val="bullet"/>
      <w:lvlText w:val=""/>
      <w:lvlJc w:val="left"/>
      <w:pPr>
        <w:ind w:left="720" w:hanging="0"/>
      </w:pPr>
      <w:rPr>
        <w:rFonts w:ascii="Wingdings" w:hAnsi="Wingdings" w:cs="Wingdings" w:hint="default"/>
        <w:sz w:val="20"/>
        <w:b/>
        <w:szCs w:val="16"/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it-IT" w:bidi="ar-SA" w:eastAsia="zh-CN"/>
    </w:rPr>
  </w:style>
  <w:style w:type="paragraph" w:styleId="Heading1">
    <w:name w:val="Heading 1"/>
    <w:next w:val="TextBody"/>
    <w:qFormat/>
    <w:pPr>
      <w:keepNext w:val="true"/>
      <w:widowControl w:val="false"/>
      <w:numPr>
        <w:ilvl w:val="0"/>
        <w:numId w:val="1"/>
      </w:numPr>
      <w:suppressAutoHyphens w:val="true"/>
      <w:ind w:left="1416" w:hanging="0"/>
      <w:jc w:val="both"/>
      <w:textAlignment w:val="baseline"/>
      <w:outlineLvl w:val="0"/>
    </w:pPr>
    <w:rPr>
      <w:rFonts w:ascii="Comic Sans MS" w:hAnsi="Comic Sans MS" w:eastAsia="Comic Sans MS" w:cs="Comic Sans MS"/>
      <w:color w:val="auto"/>
      <w:sz w:val="24"/>
      <w:szCs w:val="20"/>
      <w:lang w:val="it-IT" w:bidi="ar-SA" w:eastAsia="zh-CN"/>
    </w:rPr>
  </w:style>
  <w:style w:type="paragraph" w:styleId="Heading2">
    <w:name w:val="Heading 2"/>
    <w:next w:val="TextBody"/>
    <w:qFormat/>
    <w:pPr>
      <w:keepNext w:val="true"/>
      <w:widowControl w:val="false"/>
      <w:numPr>
        <w:ilvl w:val="1"/>
        <w:numId w:val="1"/>
      </w:numPr>
      <w:suppressAutoHyphens w:val="true"/>
      <w:jc w:val="center"/>
      <w:textAlignment w:val="baseline"/>
      <w:outlineLvl w:val="1"/>
    </w:pPr>
    <w:rPr>
      <w:rFonts w:ascii="Arial" w:hAnsi="Arial" w:eastAsia="Arial" w:cs="Arial"/>
      <w:b/>
      <w:bCs/>
      <w:color w:val="auto"/>
      <w:sz w:val="28"/>
      <w:szCs w:val="28"/>
      <w:lang w:val="it-IT" w:bidi="ar-SA" w:eastAsia="zh-CN"/>
    </w:rPr>
  </w:style>
  <w:style w:type="paragraph" w:styleId="Heading3">
    <w:name w:val="Heading 3"/>
    <w:next w:val="TextBody"/>
    <w:qFormat/>
    <w:pPr>
      <w:keepNext w:val="true"/>
      <w:widowControl w:val="false"/>
      <w:numPr>
        <w:ilvl w:val="2"/>
        <w:numId w:val="1"/>
      </w:numPr>
      <w:suppressAutoHyphens w:val="true"/>
      <w:ind w:left="4956" w:hanging="0"/>
      <w:jc w:val="right"/>
      <w:textAlignment w:val="baseline"/>
      <w:outlineLvl w:val="2"/>
    </w:pPr>
    <w:rPr>
      <w:rFonts w:ascii="Arial" w:hAnsi="Arial" w:eastAsia="Arial" w:cs="Arial"/>
      <w:b/>
      <w:bCs/>
      <w:color w:val="auto"/>
      <w:sz w:val="24"/>
      <w:szCs w:val="20"/>
      <w:lang w:val="it-IT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Times New Roman"/>
      <w:b/>
      <w:sz w:val="20"/>
      <w:szCs w:val="16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WW8Num6z0">
    <w:name w:val="WW8Num6z0"/>
    <w:qFormat/>
    <w:rPr>
      <w:rFonts w:ascii="Wingdings" w:hAnsi="Wingdings" w:eastAsia="Wingdings" w:cs="Times New Roman"/>
      <w:sz w:val="16"/>
      <w:szCs w:val="16"/>
    </w:rPr>
  </w:style>
  <w:style w:type="character" w:styleId="WW8Num6z1">
    <w:name w:val="WW8Num6z1"/>
    <w:qFormat/>
    <w:rPr>
      <w:rFonts w:ascii="Courier New" w:hAnsi="Courier New" w:eastAsia="Courier New" w:cs="Courier New"/>
    </w:rPr>
  </w:style>
  <w:style w:type="character" w:styleId="WW8Num6z2">
    <w:name w:val="WW8Num6z2"/>
    <w:qFormat/>
    <w:rPr>
      <w:rFonts w:ascii="Wingdings" w:hAnsi="Wingdings" w:eastAsia="Wingdings" w:cs="Times New Roman"/>
    </w:rPr>
  </w:style>
  <w:style w:type="character" w:styleId="WW8Num6z3">
    <w:name w:val="WW8Num6z3"/>
    <w:qFormat/>
    <w:rPr>
      <w:rFonts w:ascii="Symbol" w:hAnsi="Symbol" w:eastAsia="Symbol" w:cs="Times New Roman"/>
    </w:rPr>
  </w:style>
  <w:style w:type="character" w:styleId="WW8NumSt1z0">
    <w:name w:val="WW8NumSt1z0"/>
    <w:qFormat/>
    <w:rPr>
      <w:rFonts w:ascii="Symbol" w:hAnsi="Symbol" w:eastAsia="Symbol" w:cs="Times New Roman"/>
    </w:rPr>
  </w:style>
  <w:style w:type="character" w:styleId="Caratterepredefinitoparagrafo">
    <w:name w:val="Carattere predefinito paragrafo"/>
    <w:qFormat/>
    <w:rPr/>
  </w:style>
  <w:style w:type="character" w:styleId="Carattere1">
    <w:name w:val="Carattere1"/>
    <w:qFormat/>
    <w:rPr/>
  </w:style>
  <w:style w:type="character" w:styleId="Carattere">
    <w:name w:val="Carattere"/>
    <w:basedOn w:val="Caratterepredefinitoparagrafo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ListLabel1">
    <w:name w:val="ListLabel 1"/>
    <w:qFormat/>
    <w:rPr>
      <w:rFonts w:ascii="Arial" w:hAnsi="Arial" w:eastAsia="Arial" w:cs="Times New Roman"/>
      <w:b/>
      <w:sz w:val="20"/>
      <w:szCs w:val="16"/>
    </w:rPr>
  </w:style>
  <w:style w:type="character" w:styleId="ListLabel2">
    <w:name w:val="ListLabel 2"/>
    <w:qFormat/>
    <w:rPr>
      <w:rFonts w:cs="Times New Roman"/>
      <w:b/>
      <w:sz w:val="20"/>
      <w:szCs w:val="16"/>
    </w:rPr>
  </w:style>
  <w:style w:type="paragraph" w:styleId="Heading">
    <w:name w:val="Heading"/>
    <w:basedOn w:val="Standarduser"/>
    <w:next w:val="Textbody1"/>
    <w:qFormat/>
    <w:pPr>
      <w:keepNext w:val="true"/>
      <w:suppressAutoHyphens w:val="true"/>
      <w:spacing w:before="240" w:after="120"/>
    </w:pPr>
    <w:rPr>
      <w:rFonts w:ascii="Liberation Sans;Arial" w:hAnsi="Liberation Sans;Arial" w:eastAsia="Tahoma" w:cs="DejaVu Sans;Sylfaen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user"/>
    <w:pPr>
      <w:suppressAutoHyphens w:val="true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Standarduser"/>
    <w:qFormat/>
    <w:pPr>
      <w:suppressLineNumbers/>
      <w:suppressAutoHyphens w:val="true"/>
    </w:pPr>
    <w:rPr>
      <w:rFonts w:cs="DejaVu Sans;Sylfaen"/>
    </w:rPr>
  </w:style>
  <w:style w:type="paragraph" w:styleId="Standard">
    <w:name w:val="Standard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it-IT" w:bidi="ar-SA" w:eastAsia="zh-CN"/>
    </w:rPr>
  </w:style>
  <w:style w:type="paragraph" w:styleId="Standarduser">
    <w:name w:val="Standard (user)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extbody1">
    <w:name w:val="Text body"/>
    <w:basedOn w:val="Standard"/>
    <w:qFormat/>
    <w:pPr>
      <w:suppressAutoHyphens w:val="true"/>
      <w:spacing w:lineRule="auto" w:line="276" w:before="0" w:after="140"/>
    </w:pPr>
    <w:rPr/>
  </w:style>
  <w:style w:type="paragraph" w:styleId="Textbodyuser">
    <w:name w:val="Text body (user)"/>
    <w:basedOn w:val="Standarduser"/>
    <w:qFormat/>
    <w:pPr>
      <w:suppressAutoHyphens w:val="true"/>
      <w:jc w:val="both"/>
    </w:pPr>
    <w:rPr>
      <w:rFonts w:ascii="Comic Sans MS" w:hAnsi="Comic Sans MS" w:eastAsia="Comic Sans MS" w:cs="Comic Sans MS"/>
    </w:rPr>
  </w:style>
  <w:style w:type="paragraph" w:styleId="Didascalia">
    <w:name w:val="Didascalia"/>
    <w:basedOn w:val="Standarduser"/>
    <w:qFormat/>
    <w:pPr>
      <w:suppressLineNumbers/>
      <w:suppressAutoHyphens w:val="true"/>
      <w:spacing w:before="120" w:after="120"/>
    </w:pPr>
    <w:rPr>
      <w:rFonts w:cs="DejaVu Sans;Sylfaen"/>
      <w:i/>
      <w:iCs/>
    </w:rPr>
  </w:style>
  <w:style w:type="paragraph" w:styleId="Intestazione1">
    <w:name w:val="Intestazione1"/>
    <w:basedOn w:val="Standarduser"/>
    <w:qFormat/>
    <w:pPr>
      <w:keepNext w:val="true"/>
      <w:suppressAutoHyphens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Standarduser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Indice">
    <w:name w:val="Indice"/>
    <w:basedOn w:val="Standarduser"/>
    <w:qFormat/>
    <w:pPr>
      <w:suppressLineNumbers/>
      <w:suppressAutoHyphens w:val="true"/>
    </w:pPr>
    <w:rPr>
      <w:rFonts w:cs="Mangal"/>
    </w:rPr>
  </w:style>
  <w:style w:type="paragraph" w:styleId="Titolo">
    <w:name w:val="Titolo"/>
    <w:basedOn w:val="Standarduser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ubtitle">
    <w:name w:val="Subtitle"/>
    <w:basedOn w:val="Intestazione1"/>
    <w:next w:val="TextBody"/>
    <w:qFormat/>
    <w:pPr>
      <w:suppressAutoHyphens w:val="true"/>
      <w:jc w:val="center"/>
    </w:pPr>
    <w:rPr>
      <w:i/>
      <w:iCs/>
    </w:rPr>
  </w:style>
  <w:style w:type="paragraph" w:styleId="Header">
    <w:name w:val="Header"/>
    <w:basedOn w:val="Standarduser"/>
    <w:pPr>
      <w:suppressAutoHyphens w:val="true"/>
    </w:pPr>
    <w:rPr>
      <w:sz w:val="20"/>
      <w:szCs w:val="20"/>
    </w:rPr>
  </w:style>
  <w:style w:type="paragraph" w:styleId="Testofumetto">
    <w:name w:val="Testo fumetto"/>
    <w:basedOn w:val="Standarduser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Footer">
    <w:name w:val="Footer"/>
    <w:basedOn w:val="Standarduser"/>
    <w:pPr>
      <w:suppressAutoHyphens w:val="true"/>
    </w:pPr>
    <w:rPr/>
  </w:style>
  <w:style w:type="paragraph" w:styleId="Corpodeltesto21">
    <w:name w:val="Corpo del testo 21"/>
    <w:basedOn w:val="Standarduser"/>
    <w:qFormat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suppressAutoHyphens w:val="true"/>
      <w:jc w:val="both"/>
    </w:pPr>
    <w:rPr>
      <w:rFonts w:ascii="Arial" w:hAnsi="Arial" w:eastAsia="Arial" w:cs="Arial"/>
      <w:i/>
      <w:iCs/>
      <w:sz w:val="20"/>
    </w:rPr>
  </w:style>
  <w:style w:type="paragraph" w:styleId="Corpodeltesto31">
    <w:name w:val="Corpo del testo 31"/>
    <w:basedOn w:val="Standarduser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suppressAutoHyphens w:val="true"/>
      <w:jc w:val="both"/>
    </w:pPr>
    <w:rPr>
      <w:rFonts w:ascii="Arial" w:hAnsi="Arial" w:eastAsia="Arial" w:cs="Arial"/>
      <w:i/>
      <w:iCs/>
      <w:sz w:val="18"/>
    </w:rPr>
  </w:style>
  <w:style w:type="paragraph" w:styleId="Footnote">
    <w:name w:val="Footnote Text"/>
    <w:basedOn w:val="Standarduser"/>
    <w:pPr>
      <w:suppressAutoHyphens w:val="true"/>
    </w:pPr>
    <w:rPr>
      <w:sz w:val="20"/>
      <w:szCs w:val="20"/>
    </w:rPr>
  </w:style>
  <w:style w:type="paragraph" w:styleId="Contenutotabella">
    <w:name w:val="Contenuto tabella"/>
    <w:basedOn w:val="Standarduser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Intestazionetabella">
    <w:name w:val="Intestazione tabella"/>
    <w:basedOn w:val="Contenutotabella"/>
    <w:qFormat/>
    <w:pPr>
      <w:suppressAutoHyphens w:val="true"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2021-05-11T10:24:00Z</dcterms:created>
  <dc:creator>mongiello_a</dc:creator>
  <dc:description/>
  <dc:language>en-US</dc:language>
  <cp:lastModifiedBy>Riccardo Moraldi</cp:lastModifiedBy>
  <cp:lastPrinted>2015-05-09T11:40:00Z</cp:lastPrinted>
  <dcterms:modified xsi:type="dcterms:W3CDTF">2022-02-16T17:30:00Z</dcterms:modified>
  <cp:revision>3</cp:revision>
  <dc:subject/>
  <dc:title>Comune di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